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10"/>
        <w:gridCol w:w="1343"/>
        <w:gridCol w:w="1429"/>
        <w:gridCol w:w="1611"/>
        <w:gridCol w:w="1784"/>
      </w:tblGrid>
      <w:tr w:rsidR="00145270" w:rsidRPr="006D1274" w:rsidTr="001F1830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695A8E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Operarea cu concepte şi metode ştiinţifice interdisciplinare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695A8E" w:rsidP="00FB2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 xml:space="preserve">Integrarea conceptelor avansate, a teoriilor şi a modelelor specifice serviciilor financiare, actuariatului în analiza unei instituţii financiare (companie de asigurări, fonduri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 pensii, companii de audit, bă</w:t>
            </w: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nci etc.)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695A8E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Capacitatea de concepere şi analiză a programelor de protecție prin asigurări, a scenariilor alternative şi testelor de stres specifice domeniului actuariatului şi managementului riscurilor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A8E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Default="00695A8E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Pr="00041B34" w:rsidRDefault="00695A8E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 xml:space="preserve">Utilizarea elementelor caracteristice tehnicilor actuariale în analiza </w:t>
            </w:r>
            <w:r w:rsidRPr="00695A8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performanţei portofoliilor de investiţii in asigurări, pensii private si fonduri de investiții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Pr="006D1274" w:rsidRDefault="00695A8E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Pr="006D1274" w:rsidRDefault="00695A8E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Pr="006D1274" w:rsidRDefault="00695A8E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A8E" w:rsidRPr="006D1274" w:rsidRDefault="00695A8E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695A8E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695A8E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Aplicarea creativă a principiilor, normelor şi valorilor eticii profesionale în cadrul propriei organizaţii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B34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Default="00695A8E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2A34D8" w:rsidRDefault="00695A8E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Identificarea, individualizarea şi transferul rolurilor şi responsabilităţilor într-o echipă plurispecializată şi aplicarea de tehnici de evaluare şi relaţionare în cadrul organizaţiei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695A8E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695A8E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5A8E">
              <w:rPr>
                <w:rFonts w:ascii="Times New Roman" w:hAnsi="Times New Roman"/>
                <w:b/>
                <w:sz w:val="20"/>
                <w:szCs w:val="20"/>
              </w:rPr>
              <w:t>Identificarea oportunităţilor de formare continuă corespunzător rezultatelor analizei reflexive cu privire la evoluţia activităţii profesionale în domeniul de activitate şi valorificarea resurselor şi tehnicilor de învăţare pentru dezvol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tarea personală şi profesională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66" w:rsidRDefault="00C95966" w:rsidP="008B3CF5">
      <w:pPr>
        <w:spacing w:after="0" w:line="240" w:lineRule="auto"/>
      </w:pPr>
      <w:r>
        <w:separator/>
      </w:r>
    </w:p>
  </w:endnote>
  <w:endnote w:type="continuationSeparator" w:id="0">
    <w:p w:rsidR="00C95966" w:rsidRDefault="00C95966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66" w:rsidRDefault="00C95966" w:rsidP="008B3CF5">
      <w:pPr>
        <w:spacing w:after="0" w:line="240" w:lineRule="auto"/>
      </w:pPr>
      <w:r>
        <w:separator/>
      </w:r>
    </w:p>
  </w:footnote>
  <w:footnote w:type="continuationSeparator" w:id="0">
    <w:p w:rsidR="00C95966" w:rsidRDefault="00C95966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1B34"/>
    <w:rsid w:val="00046CA5"/>
    <w:rsid w:val="00053238"/>
    <w:rsid w:val="000542F4"/>
    <w:rsid w:val="00061AF0"/>
    <w:rsid w:val="00071F53"/>
    <w:rsid w:val="000822E5"/>
    <w:rsid w:val="00086BD8"/>
    <w:rsid w:val="00095041"/>
    <w:rsid w:val="000C66AB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B44C4"/>
    <w:rsid w:val="001C524C"/>
    <w:rsid w:val="001D1B47"/>
    <w:rsid w:val="001D2ACA"/>
    <w:rsid w:val="001D4286"/>
    <w:rsid w:val="001D4879"/>
    <w:rsid w:val="001D607D"/>
    <w:rsid w:val="001E226F"/>
    <w:rsid w:val="001F1830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34D8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2B13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95A8E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714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27704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5966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1528B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E335B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095076-5F6E-494D-B2FA-0AFDBC77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9520-B73E-4C8A-A25E-C7FEB36C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2019-10-16T12:31:00Z</dcterms:created>
  <dcterms:modified xsi:type="dcterms:W3CDTF">2019-10-16T12:31:00Z</dcterms:modified>
</cp:coreProperties>
</file>